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27.png" ContentType="image/png"/>
  <Override PartName="/word/media/rId115.png" ContentType="image/png"/>
  <Override PartName="/word/media/rId123.png" ContentType="image/png"/>
  <Override PartName="/word/media/rId119.png" ContentType="image/png"/>
  <Override PartName="/word/media/rId26.png" ContentType="image/png"/>
  <Override PartName="/word/media/rId139.png" ContentType="image/png"/>
  <Override PartName="/word/media/rId9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01-05-2024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 Table 1).</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3"/>
    <w:bookmarkStart w:id="56" w:name="project-overview"/>
    <w:p>
      <w:pPr>
        <w:pStyle w:val="Heading1"/>
      </w:pPr>
      <w:r>
        <w:t xml:space="preserve">Project Overview</w:t>
      </w:r>
    </w:p>
    <w:bookmarkStart w:id="24"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r>
        <w:t xml:space="preserve">‘</w:t>
      </w:r>
      <w:r>
        <w:t xml:space="preserve">Planning Team</w:t>
      </w:r>
      <w:r>
        <w:t xml:space="preserve">’</w:t>
      </w:r>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 Mazany-Wright et al. (2021).</w:t>
      </w:r>
    </w:p>
    <w:bookmarkEnd w:id="24"/>
    <w:bookmarkStart w:id="25"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5"/>
    <w:bookmarkStart w:id="36" w:name="project-scope"/>
    <w:p>
      <w:pPr>
        <w:pStyle w:val="Heading2"/>
      </w:pPr>
      <w:r>
        <w:t xml:space="preserve">Project Scope</w:t>
      </w:r>
    </w:p>
    <w:p>
      <w:pPr>
        <w:pStyle w:val="FirstParagraph"/>
      </w:pPr>
      <w:r>
        <w:t xml:space="preserve">The primary geographic scope of this WCRP is the Lower Nicola River watershed, located in the Thompson drainage basin of the Fraser River system in south-central British Columbia with a drainage area of 376,064 ha (Figure 1).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(Mazany-Wright et al. 2021b). Culturally and economically important populations of Chinook Salmon (Oncorhynchus tshawtyscha), Coho Salmon (Oncorhynchus kisutch), and Steelhead (Oncorhynchus mykiss) are all found in the watershed, which historically supported Indigenous sustenance and trading economies (Table 3; Lower Nicola Indian Band 2015, ESSA 2019, Coldwater Band 2021).</w:t>
      </w:r>
    </w:p>
    <w:tbl>
      <w:tblPr>
        <w:tblStyle w:val="Table"/>
        <w:tblW w:type="pct" w:w="5000"/>
        <w:tblLook w:firstRow="0" w:lastRow="0" w:firstColumn="0" w:lastColumn="0" w:noHBand="0" w:noVBand="0" w:val="0000"/>
        <w:jc w:val="start"/>
      </w:tblPr>
      <w:tblGrid>
        <w:gridCol w:w="7920"/>
      </w:tblGrid>
      <w:tr>
        <w:tc>
          <w:tcPr/>
          <w:bookmarkStart w:id="29" w:name="fig-geoscope"/>
          <w:p>
            <w:pPr>
              <w:jc w:val="center"/>
            </w:pPr>
            <w:r>
              <w:drawing>
                <wp:inline>
                  <wp:extent cx="5334000" cy="3576436"/>
                  <wp:effectExtent b="0" l="0" r="0" t="0"/>
                  <wp:docPr descr="" title="" id="27" name="Picture"/>
                  <a:graphic>
                    <a:graphicData uri="http://schemas.openxmlformats.org/drawingml/2006/picture">
                      <pic:pic>
                        <pic:nvPicPr>
                          <pic:cNvPr descr="content/images/geo-scope-lnic.png" id="28" name="Picture"/>
                          <pic:cNvPicPr>
                            <a:picLocks noChangeArrowheads="1" noChangeAspect="1"/>
                          </pic:cNvPicPr>
                        </pic:nvPicPr>
                        <pic:blipFill>
                          <a:blip r:embed="rId26"/>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29"/>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0">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1" w:name="tbl-targspec"/>
    <w:p>
      <w:pPr>
        <w:pStyle w:val="BodyText"/>
      </w:pPr>
      <w:r>
        <w:rPr>
          <w:bCs/>
          <w:b/>
        </w:rPr>
        <w:t xml:space="preserve">?(caption)</w:t>
      </w:r>
    </w:p>
    <w:bookmarkEnd w:id="31"/>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(Figure 2).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(Mazany-Wright et al. 2021a).</w:t>
      </w:r>
    </w:p>
    <w:p>
      <w:pPr>
        <w:pStyle w:val="BodyText"/>
      </w:pPr>
      <w:bookmarkStart w:id="35" w:name="fig-strseg"/>
      <w:r>
        <w:drawing>
          <wp:inline>
            <wp:extent cx="5334000" cy="3678620"/>
            <wp:effectExtent b="0" l="0" r="0" t="0"/>
            <wp:docPr descr="Potentially accessible stream segments within the Lower Nicola River watershed. These do not represent useable habitat types, but rather identify the stream segments within which habitat modelling and barrier mapping and prioritization was undertaken." title="" id="33" name="Picture"/>
            <a:graphic>
              <a:graphicData uri="http://schemas.openxmlformats.org/drawingml/2006/picture">
                <pic:pic>
                  <pic:nvPicPr>
                    <pic:cNvPr descr="content/images/accessible-streams-lnic.png" id="34" name="Picture"/>
                    <pic:cNvPicPr>
                      <a:picLocks noChangeArrowheads="1" noChangeAspect="1"/>
                    </pic:cNvPicPr>
                  </pic:nvPicPr>
                  <pic:blipFill>
                    <a:blip r:embed="rId32"/>
                    <a:stretch>
                      <a:fillRect/>
                    </a:stretch>
                  </pic:blipFill>
                  <pic:spPr bwMode="auto">
                    <a:xfrm>
                      <a:off x="0" y="0"/>
                      <a:ext cx="5334000" cy="3678620"/>
                    </a:xfrm>
                    <a:prstGeom prst="rect">
                      <a:avLst/>
                    </a:prstGeom>
                    <a:noFill/>
                    <a:ln w="9525">
                      <a:noFill/>
                      <a:headEnd/>
                      <a:tailEnd/>
                    </a:ln>
                  </pic:spPr>
                </pic:pic>
              </a:graphicData>
            </a:graphic>
          </wp:inline>
        </w:drawing>
      </w:r>
      <w:bookmarkEnd w:id="35"/>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(Seliger &amp; Zeiringer 2018).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(ESSA 2019,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(ESSA 2019).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6"/>
    <w:bookmarkStart w:id="44"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7"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(Schindler et al. 2003). Salmon and Steelhead have enduring food, social, and ceremonial value for First Nations in Lower Nicola watershed – having sustained life, trading economies, and culture for the Nlaka’pamux/Scw’exmx and Syilx peoples since time immemorial (Lower Nicola Indian Band 2015, ESSA 2019, Coldwater Band 2021). The harvest and processing of these species have helped pass knowledge and ceremony to future generations (Fraser Basin Council n.d., Lower Nicola Indian Band 2015).</w:t>
      </w:r>
    </w:p>
    <w:p>
      <w:pPr>
        <w:pStyle w:val="BodyText"/>
      </w:pPr>
      <w:r>
        <w:t xml:space="preserve">Anadromous salmonid populations in the Lower Nicola River watershed have declined significantly since the mid-1980s, leading First Nations communities to voluntarily reduce their harvest (ESSA 2019).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(Lower Nicola Indian Band 2015, ESSA 2019, Upper Nicola Band 2021).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 Appendix A for maps of modelled anadromous salmonid spawning and rearing habitat in the Lower Nicola River watershed.</w:t>
      </w:r>
    </w:p>
    <w:bookmarkEnd w:id="37"/>
    <w:bookmarkStart w:id="39" w:name="X7fdd198d48758609e88039bc5ad163691e70d37"/>
    <w:p>
      <w:pPr>
        <w:pStyle w:val="Heading3"/>
      </w:pPr>
      <w:r>
        <w:t xml:space="preserve">Chinook Salmon | k’ʷy’íʔe/pəqéłus | Oncorhynchus tshawytscha</w:t>
      </w:r>
    </w:p>
    <w:bookmarkStart w:id="38" w:name="tbl-chinook"/>
    <w:p>
      <w:pPr>
        <w:pStyle w:val="FirstParagraph"/>
      </w:pPr>
      <w:r>
        <w:rPr>
          <w:bCs/>
          <w:b/>
        </w:rPr>
        <w:t xml:space="preserve">?(caption)</w:t>
      </w:r>
    </w:p>
    <w:bookmarkEnd w:id="38"/>
    <w:p>
      <w:pPr>
        <w:pStyle w:val="BodyText"/>
      </w:pPr>
      <w:r>
        <w:t xml:space="preserve">Chinook Salmon are one of the first species to return to the watershed each year, arriving as early as May, and the population has been in decline since the mid-1990s (LGL Ltd. 2007, Ecoscape 2017). Known and historic spawning locations include the mainstem Nicola River (mostly between the Coldwater River and Spius Creek confluences), Coldwater River, Spius Creek, lower portions of Clapperton Creek, and upstream of Nicola Lake in Moore Creek and the Upper Nicola River (LGL Ltd. 2007, Ecoscape 2017, PSF 2020). In addition to these spawning systems, important juvenile rearing areas have been observed in Juliet Creek and Voght Creek (LGL Ltd. 2007).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39"/>
    <w:bookmarkStart w:id="41" w:name="coho-salmon-sxayqs-oncorhynchus-kisutch"/>
    <w:p>
      <w:pPr>
        <w:pStyle w:val="Heading3"/>
      </w:pPr>
      <w:r>
        <w:t xml:space="preserve">Coho Salmon | sx̣a̓yqs | Oncorhynchus kisutch</w:t>
      </w:r>
    </w:p>
    <w:bookmarkStart w:id="40" w:name="tbl-coho"/>
    <w:p>
      <w:pPr>
        <w:pStyle w:val="FirstParagraph"/>
      </w:pPr>
      <w:r>
        <w:rPr>
          <w:bCs/>
          <w:b/>
        </w:rPr>
        <w:t xml:space="preserve">?(caption)</w:t>
      </w:r>
    </w:p>
    <w:bookmarkEnd w:id="40"/>
    <w:p>
      <w:pPr>
        <w:pStyle w:val="BodyText"/>
      </w:pPr>
      <w:r>
        <w:t xml:space="preserve">Coho Salmon begin to return to the watershed in September, with spawning beginning in late October and continuing through December. The population has been in decline since the mid1980s (DFO 1999, Ecoscape 2017). Coho Salmon stocks have been supplemented in recent decades by outplants from the Spius Creek Hatchery (Ecoscape 2017). The majority of Coho Salmon spawning and rearing occurs in the Coldwater River, Spius Creek, and Maka Creek, but has also been observed in Clapperton Creek, Prospect Creek, and the Upper Nicola River and Moore Creek (LGL Ltd. 2007, PSF 2020). The lower reaches of many smaller tributaries are also important Coho Salmon rearing habitat.</w:t>
      </w:r>
    </w:p>
    <w:bookmarkEnd w:id="41"/>
    <w:bookmarkStart w:id="43" w:name="steelhead-cóʕʷłeʔ-oncorhynchus-mykiss"/>
    <w:p>
      <w:pPr>
        <w:pStyle w:val="Heading3"/>
      </w:pPr>
      <w:r>
        <w:t xml:space="preserve">Steelhead | cóʕʷłeʔ | Oncorhynchus mykiss</w:t>
      </w:r>
    </w:p>
    <w:bookmarkStart w:id="42" w:name="tbl-sockeye"/>
    <w:p>
      <w:pPr>
        <w:pStyle w:val="FirstParagraph"/>
      </w:pPr>
      <w:r>
        <w:rPr>
          <w:bCs/>
          <w:b/>
        </w:rPr>
        <w:t xml:space="preserve">?(caption)</w:t>
      </w:r>
    </w:p>
    <w:bookmarkEnd w:id="42"/>
    <w:p>
      <w:pPr>
        <w:pStyle w:val="BodyText"/>
      </w:pPr>
      <w:r>
        <w:t xml:space="preserve">Steelhead join Chinook Salmon as the first to appear in the watershed, arriving in the spring</w:t>
      </w:r>
      <w:r>
        <w:t xml:space="preserve"> </w:t>
      </w:r>
      <w:r>
        <w:t xml:space="preserve">(LGL Ltd. 2007). The population is critically endangered and is seen as an extreme conservation</w:t>
      </w:r>
      <w:r>
        <w:t xml:space="preserve"> </w:t>
      </w:r>
      <w:r>
        <w:t xml:space="preserve">concern (Bos 2006). Steelhead spawning and rearing is known to occur in the lower portion of</w:t>
      </w:r>
      <w:r>
        <w:t xml:space="preserve"> </w:t>
      </w:r>
      <w:r>
        <w:t xml:space="preserve">the mainstem Nicola River, Skuhun Creek, Shakan Creek, Nuaitch Creek, Maka Creek, the</w:t>
      </w:r>
      <w:r>
        <w:t xml:space="preserve"> </w:t>
      </w:r>
      <w:r>
        <w:t xml:space="preserve">Coldwater River, Juliet Creek, Voght Creek, Prospect Creek, and Clapperton Creek (LGL Ltd.</w:t>
      </w:r>
      <w:r>
        <w:t xml:space="preserve"> </w:t>
      </w:r>
      <w:r>
        <w:t xml:space="preserve">2007). Historically, almost all third-order and greater streams would have supported Steelhead,</w:t>
      </w:r>
      <w:r>
        <w:t xml:space="preserve"> </w:t>
      </w:r>
      <w:r>
        <w:t xml:space="preserve">and groundwater-fed thermal refugia continue to provide important rearing and holding</w:t>
      </w:r>
      <w:r>
        <w:t xml:space="preserve"> </w:t>
      </w:r>
      <w:r>
        <w:t xml:space="preserve">habitats (Ecoscape 2017).</w:t>
      </w:r>
    </w:p>
    <w:bookmarkEnd w:id="43"/>
    <w:bookmarkEnd w:id="44"/>
    <w:bookmarkStart w:id="55" w:name="barrier-types"/>
    <w:p>
      <w:pPr>
        <w:pStyle w:val="Heading2"/>
      </w:pPr>
      <w:r>
        <w:t xml:space="preserve">Barrier Types</w:t>
      </w:r>
    </w:p>
    <w:p>
      <w:pPr>
        <w:pStyle w:val="FirstParagraph"/>
      </w:pPr>
      <w:r>
        <w:t xml:space="preserve">The following table highlights barrier types threatening anadromous salmonids in the</w:t>
      </w:r>
      <w:r>
        <w:t xml:space="preserve"> </w:t>
      </w:r>
      <w:r>
        <w:t xml:space="preserve">watershed. The results of this assessment were used to inform the subsequent planning steps,</w:t>
      </w:r>
      <w:r>
        <w:t xml:space="preserve"> </w:t>
      </w:r>
      <w:r>
        <w:t xml:space="preserve">as well as to identify knowledge gaps where there are limited spatial data to inform the</w:t>
      </w:r>
      <w:r>
        <w:t xml:space="preserve"> </w:t>
      </w:r>
      <w:r>
        <w:t xml:space="preserve">assessment for a specific barrier type.</w:t>
      </w:r>
    </w:p>
    <w:bookmarkStart w:id="46" w:name="tbl-barriertype"/>
    <w:bookmarkStart w:id="45" w:name="T_0ab99"/>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5"/>
    <w:bookmarkEnd w:id="46"/>
    <w:bookmarkStart w:id="47"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7"/>
    <w:bookmarkStart w:id="48" w:name="road-stream-crossings"/>
    <w:p>
      <w:pPr>
        <w:pStyle w:val="Heading3"/>
      </w:pPr>
      <w:r>
        <w:t xml:space="preserve">Road-stream Crossings</w:t>
      </w:r>
    </w:p>
    <w:p>
      <w:pPr>
        <w:pStyle w:val="FirstParagraph"/>
      </w:pPr>
      <w:r>
        <w:t xml:space="preserve">Road-stream crossings are an abundant barrier type in the watershed, with 80assessed and</w:t>
      </w:r>
      <w:r>
        <w:t xml:space="preserve"> </w:t>
      </w:r>
      <w:r>
        <w:t xml:space="preserve">modelled crossings located on modelled Anadromous Salmonid habitat. Demographic road</w:t>
      </w:r>
      <w:r>
        <w:t xml:space="preserve"> </w:t>
      </w:r>
      <w:r>
        <w:t xml:space="preserve">crossings (highways, municipal, and paved roads) block 55.39 km of habitat (57.4%), with 88%</w:t>
      </w:r>
      <w:r>
        <w:t xml:space="preserve"> </w:t>
      </w:r>
      <w:r>
        <w:t xml:space="preserve">of assessed crossings having been identified as barriers to fish passage. Resource roads block</w:t>
      </w:r>
      <w:r>
        <w:t xml:space="preserve"> </w:t>
      </w:r>
      <w:r>
        <w:t xml:space="preserve">34.04 km of habitat (35.3%), with 73% of assessed crossings identified as barriers. Significant</w:t>
      </w:r>
      <w:r>
        <w:t xml:space="preserve"> </w:t>
      </w:r>
      <w:r>
        <w:t xml:space="preserve">land use and linear development throughout the valley bottom has disconnected the Nicola</w:t>
      </w:r>
      <w:r>
        <w:t xml:space="preserve"> </w:t>
      </w:r>
      <w:r>
        <w:t xml:space="preserve">River from important habitat in some tributaries, including Highway 5 and Highway 8 (see</w:t>
      </w:r>
      <w:r>
        <w:t xml:space="preserve"> </w:t>
      </w:r>
      <w:r>
        <w:t xml:space="preserve">Appendix C - Barrier Prioritization results). The collective experience and input from the</w:t>
      </w:r>
      <w:r>
        <w:t xml:space="preserve"> </w:t>
      </w:r>
      <w:r>
        <w:t xml:space="preserve">planning team resulted in a Low irreversibility rating due to the existing body of knowledge and</w:t>
      </w:r>
      <w:r>
        <w:t xml:space="preserve"> </w:t>
      </w:r>
      <w:r>
        <w:t xml:space="preserve">resources to support the remediation of road-stream crossings, though it was noted that there</w:t>
      </w:r>
      <w:r>
        <w:t xml:space="preserve"> </w:t>
      </w:r>
      <w:r>
        <w:t xml:space="preserve">is significant variability between resource roads and highway crossings.</w:t>
      </w:r>
    </w:p>
    <w:bookmarkEnd w:id="48"/>
    <w:bookmarkStart w:id="49"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49"/>
    <w:bookmarkStart w:id="50"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w:t>
      </w:r>
      <w:r>
        <w:t xml:space="preserve"> </w:t>
      </w:r>
      <w:r>
        <w:t xml:space="preserve">dykes, berms, and linear development (i.e., road and abandoned rail lines), all of which can</w:t>
      </w:r>
      <w:r>
        <w:t xml:space="preserve"> </w:t>
      </w:r>
      <w:r>
        <w:t xml:space="preserve">restrict the ability of anadromous salmonids to move into floodplains, riparian wetlands, offchannel habitats, and other groundwater-fed thermal refugia. No comprehensive lateral barrier</w:t>
      </w:r>
      <w:r>
        <w:t xml:space="preserve"> </w:t>
      </w:r>
      <w:r>
        <w:t xml:space="preserve">dataset exists within the watershed, so pressure ratings were based on qualitative local</w:t>
      </w:r>
      <w:r>
        <w:t xml:space="preserve"> </w:t>
      </w:r>
      <w:r>
        <w:t xml:space="preserve">knowledge. Lateral barriers were identified as the primary connectivity concern in the</w:t>
      </w:r>
      <w:r>
        <w:t xml:space="preserve"> </w:t>
      </w:r>
      <w:r>
        <w:t xml:space="preserve">watershed due to a High extent for all target species’ habitats and a Very high severity of</w:t>
      </w:r>
      <w:r>
        <w:t xml:space="preserve"> </w:t>
      </w:r>
      <w:r>
        <w:t xml:space="preserve">barriers (i.e., almost all structures are blocking the movement of fish). Highway 5, Highway 8,</w:t>
      </w:r>
      <w:r>
        <w:t xml:space="preserve"> </w:t>
      </w:r>
      <w:r>
        <w:t xml:space="preserve">and the two abandoned rail lines run along significant stretches of the Coldwater River and</w:t>
      </w:r>
      <w:r>
        <w:t xml:space="preserve"> </w:t>
      </w:r>
      <w:r>
        <w:t xml:space="preserve">mainstem Nicola River and likely disconnect these mainstems from segments of their historic</w:t>
      </w:r>
      <w:r>
        <w:t xml:space="preserve"> </w:t>
      </w:r>
      <w:r>
        <w:t xml:space="preserve">floodplains, off-channel habitats, and thermal refugia in certain locations. Other lateral barriers</w:t>
      </w:r>
      <w:r>
        <w:t xml:space="preserve"> </w:t>
      </w:r>
      <w:r>
        <w:t xml:space="preserve">include irrigation infrastructure that occurs in the valley bottom on agricultural land. Overall,</w:t>
      </w:r>
      <w:r>
        <w:t xml:space="preserve"> </w:t>
      </w:r>
      <w:r>
        <w:t xml:space="preserve">the planning team decided that a High pressure rating captured the effect that lateral barriers</w:t>
      </w:r>
      <w:r>
        <w:t xml:space="preserve"> </w:t>
      </w:r>
      <w:r>
        <w:t xml:space="preserve">are likely having on connectivity in the watershed, particularly thermal connectivity, while</w:t>
      </w:r>
      <w:r>
        <w:t xml:space="preserve"> </w:t>
      </w:r>
      <w:r>
        <w:t xml:space="preserve">recognizing that the lack of data on lateral barriers in the watershed is an important knowledge</w:t>
      </w:r>
      <w:r>
        <w:t xml:space="preserve"> </w:t>
      </w:r>
      <w:r>
        <w:t xml:space="preserve">gap to fill.</w:t>
      </w:r>
    </w:p>
    <w:bookmarkEnd w:id="50"/>
    <w:bookmarkStart w:id="51" w:name="natural-barriers"/>
    <w:p>
      <w:pPr>
        <w:pStyle w:val="Heading3"/>
      </w:pPr>
      <w:r>
        <w:t xml:space="preserve">Natural Barriers</w:t>
      </w:r>
    </w:p>
    <w:p>
      <w:pPr>
        <w:pStyle w:val="FirstParagraph"/>
      </w:pPr>
      <w:r>
        <w:t xml:space="preserve">Natural barriers to fish passage can include debris flows, log jams, sediment deposits, etc., but</w:t>
      </w:r>
      <w:r>
        <w:t xml:space="preserve"> </w:t>
      </w:r>
      <w:r>
        <w:t xml:space="preserve">natural features that have always restricted fish passage (e.g., waterfalls) are not considered</w:t>
      </w:r>
      <w:r>
        <w:t xml:space="preserve"> </w:t>
      </w:r>
      <w:r>
        <w:t xml:space="preserve">under this barrier type. Natural barriers are difficult to include in a spatial prioritization</w:t>
      </w:r>
      <w:r>
        <w:t xml:space="preserve"> </w:t>
      </w:r>
      <w:r>
        <w:t xml:space="preserve">framework due to their transient nature. The planning team felt that the major drivers of</w:t>
      </w:r>
      <w:r>
        <w:t xml:space="preserve"> </w:t>
      </w:r>
      <w:r>
        <w:t xml:space="preserve">natural barriers were massive sediment aggradation that has occurred in the watershed in</w:t>
      </w:r>
      <w:r>
        <w:t xml:space="preserve"> </w:t>
      </w:r>
      <w:r>
        <w:t xml:space="preserve">recent years and changes in the natural flow regime of the watershed. The associated channel</w:t>
      </w:r>
      <w:r>
        <w:t xml:space="preserve"> </w:t>
      </w:r>
      <w:r>
        <w:t xml:space="preserve">destabilization creates impassable stream segments due to a lack of flow and increased lateral</w:t>
      </w:r>
      <w:r>
        <w:t xml:space="preserve"> </w:t>
      </w:r>
      <w:r>
        <w:t xml:space="preserve">migration of streams. The extent, severity, and passability of these obstacles will vary over time</w:t>
      </w:r>
      <w:r>
        <w:t xml:space="preserve"> </w:t>
      </w:r>
      <w:r>
        <w:t xml:space="preserve">depending on the season and year; however, current and historic land-use practices, including</w:t>
      </w:r>
      <w:r>
        <w:t xml:space="preserve"> </w:t>
      </w:r>
      <w:r>
        <w:t xml:space="preserve">forest harvesting, agriculture, and water withdrawals have exacerbated the effect of natural</w:t>
      </w:r>
      <w:r>
        <w:t xml:space="preserve"> </w:t>
      </w:r>
      <w:r>
        <w:t xml:space="preserve">barriers in the watershed. Due to the nature of these land-use practices, the severity of natural</w:t>
      </w:r>
      <w:r>
        <w:t xml:space="preserve"> </w:t>
      </w:r>
      <w:r>
        <w:t xml:space="preserve">barriers was rated as Very high and the irreversibility as Medium, the latter due to the effort</w:t>
      </w:r>
      <w:r>
        <w:t xml:space="preserve"> </w:t>
      </w:r>
      <w:r>
        <w:t xml:space="preserve">required to rectify poor land-use practices at a watershed scale. Overall, the planning team felt</w:t>
      </w:r>
      <w:r>
        <w:t xml:space="preserve"> </w:t>
      </w:r>
      <w:r>
        <w:t xml:space="preserve">that a pressure rating of</w:t>
      </w:r>
      <w:r>
        <w:t xml:space="preserve"> </w:t>
      </w:r>
      <w:r>
        <w:t xml:space="preserve">‘</w:t>
      </w:r>
      <w:r>
        <w:t xml:space="preserve">High</w:t>
      </w:r>
      <w:r>
        <w:t xml:space="preserve">’</w:t>
      </w:r>
      <w:r>
        <w:t xml:space="preserve"> </w:t>
      </w:r>
      <w:r>
        <w:t xml:space="preserve">adequately captured the effects of natural barriers.</w:t>
      </w:r>
    </w:p>
    <w:bookmarkEnd w:id="51"/>
    <w:bookmarkStart w:id="52" w:name="small-dams-5m-height"/>
    <w:p>
      <w:pPr>
        <w:pStyle w:val="Heading3"/>
      </w:pPr>
      <w:r>
        <w:t xml:space="preserve">Small Dams (&lt;5m height)</w:t>
      </w:r>
    </w:p>
    <w:p>
      <w:pPr>
        <w:pStyle w:val="FirstParagraph"/>
      </w:pPr>
      <w:r>
        <w:t xml:space="preserve">There are five mapped dams on modelled anadromous salmonid habitat in the watershed,</w:t>
      </w:r>
      <w:r>
        <w:t xml:space="preserve"> </w:t>
      </w:r>
      <w:r>
        <w:t xml:space="preserve">blocking a combined 5.08 km (5.3%) of spawning and rearing habitat, resulting in a Low extent</w:t>
      </w:r>
      <w:r>
        <w:t xml:space="preserve"> </w:t>
      </w:r>
      <w:r>
        <w:t xml:space="preserve">(see Appendix C for dams included in the intermediate barrier list). The extent rating of these</w:t>
      </w:r>
      <w:r>
        <w:t xml:space="preserve"> </w:t>
      </w:r>
      <w:r>
        <w:t xml:space="preserve">structures was confirmed by the planning team. There are three known fish passage structures</w:t>
      </w:r>
      <w:r>
        <w:t xml:space="preserve"> </w:t>
      </w:r>
      <w:r>
        <w:t xml:space="preserve">in the watershed, including on Nicola Lake Dam, and the remaining dams likely block passage</w:t>
      </w:r>
      <w:r>
        <w:t xml:space="preserve"> </w:t>
      </w:r>
      <w:r>
        <w:t xml:space="preserve">for anadromous salmonids. Many dams in the watershed are irrigation impoundments that are</w:t>
      </w:r>
      <w:r>
        <w:t xml:space="preserve"> </w:t>
      </w:r>
      <w:r>
        <w:t xml:space="preserve">of little consequence to target species. Remediating dams requires significant resources;</w:t>
      </w:r>
      <w:r>
        <w:t xml:space="preserve"> </w:t>
      </w:r>
      <w:r>
        <w:t xml:space="preserve">however, due to the minimal extent of dams in the watershed, a final pressure rating of Low</w:t>
      </w:r>
      <w:r>
        <w:t xml:space="preserve"> </w:t>
      </w:r>
      <w:r>
        <w:t xml:space="preserve">was assigned to this barrier type</w:t>
      </w:r>
    </w:p>
    <w:bookmarkEnd w:id="52"/>
    <w:bookmarkStart w:id="53" w:name="X7a379120ef9bda8c204c93814cd1871d225b00f"/>
    <w:p>
      <w:pPr>
        <w:pStyle w:val="Heading3"/>
      </w:pPr>
      <w:r>
        <w:t xml:space="preserve">Abandoned Rail-Stream Crossings (Logitudinal)</w:t>
      </w:r>
    </w:p>
    <w:p>
      <w:pPr>
        <w:pStyle w:val="FirstParagraph"/>
      </w:pPr>
      <w:r>
        <w:t xml:space="preserve">There are no active rail lines in the Lower Nicola watershed; however, infrastructure remains in</w:t>
      </w:r>
      <w:r>
        <w:t xml:space="preserve"> </w:t>
      </w:r>
      <w:r>
        <w:t xml:space="preserve">place from the historic Nicola Valley Railway and the Kettle Valley Railway in the form of</w:t>
      </w:r>
      <w:r>
        <w:t xml:space="preserve"> </w:t>
      </w:r>
      <w:r>
        <w:t xml:space="preserve">abandoned railbeds and associated stream crossings. There are 4 modelled abandoned railstream crossings located on modelled anadromous salmonid habitat, blocking a combined 1.94</w:t>
      </w:r>
      <w:r>
        <w:t xml:space="preserve"> </w:t>
      </w:r>
      <w:r>
        <w:t xml:space="preserve">km of habitat (2.01% of the total habitat blocked; see Appendix C for abandoned rail-stream</w:t>
      </w:r>
      <w:r>
        <w:t xml:space="preserve"> </w:t>
      </w:r>
      <w:r>
        <w:t xml:space="preserve">crossings included in the intermediate barrier list). There are no data to support the assessment</w:t>
      </w:r>
      <w:r>
        <w:t xml:space="preserve"> </w:t>
      </w:r>
      <w:r>
        <w:t xml:space="preserve">of the severity of these crossings, but the collective knowledge of the planning team resulted in</w:t>
      </w:r>
      <w:r>
        <w:t xml:space="preserve"> </w:t>
      </w:r>
      <w:r>
        <w:t xml:space="preserve">a Low severity rating because most are believed to be serviced by bridges or open-bottom</w:t>
      </w:r>
      <w:r>
        <w:t xml:space="preserve"> </w:t>
      </w:r>
      <w:r>
        <w:t xml:space="preserve">structures. Despite the moderate technical knowledge and resources required to remediate</w:t>
      </w:r>
      <w:r>
        <w:t xml:space="preserve"> </w:t>
      </w:r>
      <w:r>
        <w:t xml:space="preserve">these barriers, the low extent and low severity resulted in the overall pressure rating of Low.</w:t>
      </w:r>
      <w:r>
        <w:t xml:space="preserve"> </w:t>
      </w:r>
      <w:r>
        <w:t xml:space="preserve">The abandoned rail lines, however, were identified by the planning team as a contributor to</w:t>
      </w:r>
      <w:r>
        <w:t xml:space="preserve"> </w:t>
      </w:r>
      <w:r>
        <w:t xml:space="preserve">lateral and thermal disconnectivity in the watershed (see Lateral Barriers to Thermal</w:t>
      </w:r>
      <w:r>
        <w:t xml:space="preserve"> </w:t>
      </w:r>
      <w:r>
        <w:t xml:space="preserve">Connectivity).</w:t>
      </w:r>
    </w:p>
    <w:bookmarkEnd w:id="53"/>
    <w:bookmarkStart w:id="54" w:name="trail-stream-crossings-1"/>
    <w:p>
      <w:pPr>
        <w:pStyle w:val="Heading3"/>
      </w:pPr>
      <w:r>
        <w:t xml:space="preserve">Trail-stream Crossings</w:t>
      </w:r>
    </w:p>
    <w:p>
      <w:pPr>
        <w:pStyle w:val="FirstParagraph"/>
      </w:pPr>
      <w:r>
        <w:t xml:space="preserve">There are very little spatial data available on trail-stream crossings in the watershed, so the</w:t>
      </w:r>
      <w:r>
        <w:t xml:space="preserve"> </w:t>
      </w:r>
      <w:r>
        <w:t xml:space="preserve">planning team was unable to quantify the true Extent and Severity of this barrier type.</w:t>
      </w:r>
      <w:r>
        <w:t xml:space="preserve"> </w:t>
      </w:r>
      <w:r>
        <w:t xml:space="preserve">However, the planning team felt that trail-stream crossings are not prevalent within the</w:t>
      </w:r>
      <w:r>
        <w:t xml:space="preserve"> </w:t>
      </w:r>
      <w:r>
        <w:t xml:space="preserve">watershed and that where they do exist, they do not significantly restrict passage for</w:t>
      </w:r>
      <w:r>
        <w:t xml:space="preserve"> </w:t>
      </w:r>
      <w:r>
        <w:t xml:space="preserve">anadromous salmonids. Because most crossings will likely be fords or similar structures, the</w:t>
      </w:r>
      <w:r>
        <w:t xml:space="preserve"> </w:t>
      </w:r>
      <w:r>
        <w:t xml:space="preserve">remediation costs associated with these barriers would be quite low. Overall, the planning</w:t>
      </w:r>
      <w:r>
        <w:t xml:space="preserve"> </w:t>
      </w:r>
      <w:r>
        <w:t xml:space="preserve">team felt that the pressure rating for trail-stream crossings was likely Low</w:t>
      </w:r>
    </w:p>
    <w:bookmarkEnd w:id="54"/>
    <w:bookmarkEnd w:id="55"/>
    <w:bookmarkEnd w:id="56"/>
    <w:bookmarkStart w:id="63"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8" w:name="tbl-connectivity"/>
    <w:bookmarkStart w:id="57" w:name="T_fa2f4"/>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74</w:t>
            </w:r>
          </w:p>
        </w:tc>
      </w:tr>
    </w:tbl>
    <w:bookmarkEnd w:id="57"/>
    <w:bookmarkEnd w:id="58"/>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9" w:name="T_34cd9"/>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62" w:name="goals"/>
    <w:p>
      <w:pPr>
        <w:pStyle w:val="Heading2"/>
      </w:pPr>
      <w:r>
        <w:t xml:space="preserve">Goals</w:t>
      </w:r>
    </w:p>
    <w:bookmarkStart w:id="61" w:name="tbl-goals"/>
    <w:bookmarkStart w:id="60" w:name="T_64f67"/>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60"/>
    <w:bookmarkEnd w:id="61"/>
    <w:bookmarkEnd w:id="62"/>
    <w:bookmarkEnd w:id="63"/>
    <w:bookmarkStart w:id="72" w:name="barrier-prioritization"/>
    <w:p>
      <w:pPr>
        <w:pStyle w:val="Heading1"/>
      </w:pPr>
      <w:r>
        <w:t xml:space="preserve">Barrier Prioritization</w:t>
      </w:r>
    </w:p>
    <w:bookmarkStart w:id="71"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115.78 km of spawning or rearing habitat (</w:t>
      </w:r>
      <w:hyperlink w:anchor="tbl-table16">
        <w:r>
          <w:rPr>
            <w:rStyle w:val="Hyperlink"/>
          </w:rPr>
          <w:t xml:space="preserve">Table 4</w:t>
        </w:r>
      </w:hyperlink>
      <w:r>
        <w:t xml:space="preserve">):</w:t>
      </w:r>
    </w:p>
    <w:bookmarkStart w:id="65" w:name="tbl-table16"/>
    <w:bookmarkStart w:id="64" w:name="T_7d183"/>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74%</w:t>
            </w:r>
          </w:p>
        </w:tc>
        <w:tc>
          <w:tcPr/>
          <w:p>
            <w:pPr>
              <w:pStyle w:val="Compact"/>
              <w:jc w:val="left"/>
            </w:pPr>
            <w:r>
              <w:t xml:space="preserve">96%</w:t>
            </w:r>
          </w:p>
        </w:tc>
        <w:tc>
          <w:tcPr/>
          <w:p>
            <w:pPr>
              <w:pStyle w:val="Compact"/>
              <w:jc w:val="left"/>
            </w:pPr>
            <w:r>
              <w:t xml:space="preserve">115.78</w:t>
            </w:r>
          </w:p>
        </w:tc>
      </w:tr>
    </w:tbl>
    <w:bookmarkEnd w:id="64"/>
    <w:bookmarkEnd w:id="65"/>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et al. (2021a)</w:t>
      </w:r>
      <w:r>
        <w:t xml:space="preserve">.</w:t>
      </w:r>
    </w:p>
    <w:bookmarkStart w:id="66"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6"/>
    <w:bookmarkStart w:id="67"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7"/>
    <w:bookmarkStart w:id="68"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Start w:id="69" w:name="T_404b8"/>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ID</w:t>
            </w:r>
          </w:p>
        </w:tc>
        <w:tc>
          <w:tcPr/>
          <w:p>
            <w:pPr>
              <w:pStyle w:val="Compact"/>
              <w:jc w:val="left"/>
            </w:pPr>
            <w:r>
              <w:t xml:space="preserve">Watercourse</w:t>
            </w:r>
          </w:p>
        </w:tc>
        <w:tc>
          <w:tcPr/>
          <w:p>
            <w:pPr>
              <w:pStyle w:val="Compact"/>
              <w:jc w:val="left"/>
            </w:pPr>
            <w:r>
              <w:t xml:space="preserve">Road name</w:t>
            </w:r>
          </w:p>
        </w:tc>
        <w:tc>
          <w:tcPr/>
          <w:p>
            <w:pPr>
              <w:pStyle w:val="Compact"/>
              <w:jc w:val="left"/>
            </w:pPr>
            <w:r>
              <w:t xml:space="preserve">Location/coordinates</w:t>
            </w:r>
          </w:p>
        </w:tc>
        <w:tc>
          <w:tcPr/>
          <w:p>
            <w:pPr>
              <w:pStyle w:val="Compact"/>
              <w:jc w:val="left"/>
            </w:pPr>
            <w:r>
              <w:t xml:space="preserve">Reason for exclusion</w:t>
            </w:r>
          </w:p>
        </w:tc>
        <w:tc>
          <w:tcPr/>
          <w:p>
            <w:pPr>
              <w:pStyle w:val="Compact"/>
              <w:jc w:val="left"/>
            </w:pPr>
            <w:r>
              <w:t xml:space="preserve">Method of exclusion</w:t>
            </w:r>
          </w:p>
        </w:tc>
        <w:tc>
          <w:tcPr/>
          <w:p>
            <w:pPr>
              <w:pStyle w:val="Compact"/>
              <w:jc w:val="left"/>
            </w:pPr>
            <w:r>
              <w:t xml:space="preserve">Comments(external)</w:t>
            </w:r>
          </w:p>
        </w:tc>
        <w:tc>
          <w:tcPr/>
          <w:p>
            <w:pPr>
              <w:pStyle w:val="Compact"/>
              <w:jc w:val="left"/>
            </w:pPr>
            <w:r>
              <w:t xml:space="preserve">Supporting links</w:t>
            </w:r>
          </w:p>
        </w:tc>
      </w:tr>
    </w:tbl>
    <w:bookmarkEnd w:id="69"/>
    <w:p>
      <w:pPr>
        <w:pStyle w:val="BodyText"/>
      </w:pPr>
      <w:r>
        <w:t xml:space="preserve">Out of the 15 on the intermediate list, 16 require further field assessment before selection as a final barrier to pursue for remediation:</w:t>
      </w:r>
    </w:p>
    <w:p>
      <w:pPr>
        <w:pStyle w:val="BodyText"/>
      </w:pPr>
      <w:r>
        <w:t xml:space="preserve">There are currently 15 barriers on the priority barrier list, which will be pursued for proactive remediation to achieve the connectivity goals in this plan:</w:t>
      </w:r>
    </w:p>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70"/>
    <w:bookmarkEnd w:id="71"/>
    <w:bookmarkEnd w:id="72"/>
    <w:bookmarkStart w:id="80" w:name="work-planning"/>
    <w:p>
      <w:pPr>
        <w:pStyle w:val="Heading1"/>
      </w:pPr>
      <w:r>
        <w:t xml:space="preserve">Work Planning</w:t>
      </w:r>
    </w:p>
    <w:bookmarkStart w:id="73" w:name="annual-progress-report"/>
    <w:p>
      <w:pPr>
        <w:pStyle w:val="Heading2"/>
      </w:pPr>
      <w:r>
        <w:t xml:space="preserve">Annual Progress Report</w:t>
      </w:r>
    </w:p>
    <w:bookmarkEnd w:id="73"/>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4" w:name="tbl-S1"/>
    <w:p>
      <w:pPr>
        <w:pStyle w:val="BodyText"/>
      </w:pPr>
      <w:r>
        <w:rPr>
          <w:bCs/>
          <w:b/>
        </w:rPr>
        <w:t xml:space="preserve">?(caption)</w:t>
      </w:r>
    </w:p>
    <w:bookmarkEnd w:id="74"/>
    <w:bookmarkStart w:id="76" w:name="tbl-opplan"/>
    <w:bookmarkStart w:id="75" w:name="T_5ae78"/>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5"/>
    <w:bookmarkEnd w:id="76"/>
    <w:bookmarkStart w:id="77" w:name="tbl-fund"/>
    <w:p>
      <w:pPr>
        <w:pStyle w:val="BodyText"/>
      </w:pPr>
      <w:r>
        <w:rPr>
          <w:bCs/>
          <w:b/>
        </w:rPr>
        <w:t xml:space="preserve">?(caption)</w:t>
      </w:r>
    </w:p>
    <w:bookmarkEnd w:id="77"/>
    <w:bookmarkEnd w:id="78"/>
    <w:bookmarkStart w:id="79" w:name="annual-work-plan"/>
    <w:p>
      <w:pPr>
        <w:pStyle w:val="Heading2"/>
      </w:pPr>
      <w:r>
        <w:t xml:space="preserve">Annual Work Plan</w:t>
      </w:r>
    </w:p>
    <w:bookmarkEnd w:id="79"/>
    <w:bookmarkEnd w:id="80"/>
    <w:bookmarkStart w:id="86" w:name="references"/>
    <w:p>
      <w:pPr>
        <w:pStyle w:val="Heading1"/>
      </w:pPr>
      <w:r>
        <w:t xml:space="preserve">References</w:t>
      </w:r>
    </w:p>
    <w:bookmarkStart w:id="85" w:name="refs"/>
    <w:bookmarkStart w:id="8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1"/>
    <w:bookmarkStart w:id="8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2"/>
    <w:bookmarkStart w:id="8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3"/>
    <w:bookmarkStart w:id="8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4"/>
    <w:bookmarkEnd w:id="85"/>
    <w:bookmarkEnd w:id="86"/>
    <w:bookmarkStart w:id="88" w:name="version-history"/>
    <w:p>
      <w:pPr>
        <w:pStyle w:val="Heading1"/>
      </w:pPr>
      <w:r>
        <w:t xml:space="preserve">Version History</w:t>
      </w:r>
    </w:p>
    <w:p>
      <w:pPr>
        <w:pStyle w:val="FirstParagraph"/>
      </w:pPr>
      <w:hyperlink r:id="rId87">
        <w:r>
          <w:rPr>
            <w:rStyle w:val="Hyperlink"/>
          </w:rPr>
          <w:t xml:space="preserve">v.1.0 – March 2024</w:t>
        </w:r>
      </w:hyperlink>
    </w:p>
    <w:bookmarkEnd w:id="88"/>
    <w:bookmarkStart w:id="93" w:name="project-partners"/>
    <w:p>
      <w:pPr>
        <w:pStyle w:val="Heading1"/>
      </w:pPr>
      <w:r>
        <w:t xml:space="preserve">Project Partners</w:t>
      </w:r>
    </w:p>
    <w:bookmarkStart w:id="90" w:name="planning-team"/>
    <w:p>
      <w:pPr>
        <w:pStyle w:val="Heading2"/>
      </w:pPr>
      <w:r>
        <w:t xml:space="preserve">Planning Team</w:t>
      </w:r>
    </w:p>
    <w:bookmarkStart w:id="8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89"/>
    <w:bookmarkEnd w:id="90"/>
    <w:bookmarkStart w:id="92" w:name="key-actors"/>
    <w:p>
      <w:pPr>
        <w:pStyle w:val="Heading2"/>
      </w:pPr>
      <w:r>
        <w:t xml:space="preserve">Key Actors</w:t>
      </w:r>
    </w:p>
    <w:bookmarkStart w:id="9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91"/>
    <w:bookmarkEnd w:id="92"/>
    <w:bookmarkEnd w:id="93"/>
    <w:bookmarkStart w:id="137" w:name="supplementary-information"/>
    <w:p>
      <w:pPr>
        <w:pStyle w:val="Heading1"/>
      </w:pPr>
      <w:r>
        <w:t xml:space="preserve">Supplementary Information</w:t>
      </w:r>
    </w:p>
    <w:bookmarkStart w:id="9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97" w:name="fig-sitan"/>
          <w:p>
            <w:pPr>
              <w:jc w:val="center"/>
            </w:pPr>
            <w:r>
              <w:drawing>
                <wp:inline>
                  <wp:extent cx="5334000" cy="3313305"/>
                  <wp:effectExtent b="0" l="0" r="0" t="0"/>
                  <wp:docPr descr="" title="" id="95" name="Picture"/>
                  <a:graphic>
                    <a:graphicData uri="http://schemas.openxmlformats.org/drawingml/2006/picture">
                      <pic:pic>
                        <pic:nvPicPr>
                          <pic:cNvPr descr="content/images/situation-analysis.png" id="96" name="Picture"/>
                          <pic:cNvPicPr>
                            <a:picLocks noChangeArrowheads="1" noChangeAspect="1"/>
                          </pic:cNvPicPr>
                        </pic:nvPicPr>
                        <pic:blipFill>
                          <a:blip r:embed="rId9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97"/>
        </w:tc>
      </w:tr>
    </w:tbl>
    <w:bookmarkEnd w:id="98"/>
    <w:bookmarkStart w:id="9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99"/>
    <w:bookmarkStart w:id="102" w:name="strategy-1-crossing-remediation"/>
    <w:p>
      <w:pPr>
        <w:pStyle w:val="Heading2"/>
      </w:pPr>
      <w:r>
        <w:t xml:space="preserve">Strategy 1: Crossing Remediation</w:t>
      </w:r>
    </w:p>
    <w:bookmarkStart w:id="101" w:name="tbl-S1"/>
    <w:bookmarkStart w:id="100" w:name="T_750d6"/>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0"/>
    <w:bookmarkEnd w:id="101"/>
    <w:bookmarkEnd w:id="102"/>
    <w:bookmarkStart w:id="105" w:name="strategy-2-lateral-barrier-remediation"/>
    <w:p>
      <w:pPr>
        <w:pStyle w:val="Heading2"/>
      </w:pPr>
      <w:r>
        <w:t xml:space="preserve">Strategy 2: Lateral Barrier Remediation</w:t>
      </w:r>
    </w:p>
    <w:bookmarkStart w:id="104" w:name="tbl-S2"/>
    <w:bookmarkStart w:id="103" w:name="T_03a22"/>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3"/>
    <w:bookmarkEnd w:id="104"/>
    <w:bookmarkEnd w:id="105"/>
    <w:bookmarkStart w:id="108" w:name="strategy-3-dam-remediation"/>
    <w:p>
      <w:pPr>
        <w:pStyle w:val="Heading2"/>
      </w:pPr>
      <w:r>
        <w:t xml:space="preserve">Strategy 3: Dam Remediation</w:t>
      </w:r>
    </w:p>
    <w:bookmarkStart w:id="107" w:name="tbl-S3"/>
    <w:bookmarkStart w:id="106" w:name="T_864c4"/>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6"/>
    <w:bookmarkEnd w:id="107"/>
    <w:bookmarkEnd w:id="108"/>
    <w:bookmarkStart w:id="111" w:name="strategy-4-barrier-prevention"/>
    <w:p>
      <w:pPr>
        <w:pStyle w:val="Heading2"/>
      </w:pPr>
      <w:r>
        <w:t xml:space="preserve">Strategy 4: Barrier Prevention</w:t>
      </w:r>
    </w:p>
    <w:bookmarkStart w:id="110" w:name="tbl-S4"/>
    <w:bookmarkStart w:id="109" w:name="T_ef9f8"/>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09"/>
    <w:bookmarkEnd w:id="110"/>
    <w:bookmarkEnd w:id="111"/>
    <w:bookmarkStart w:id="114" w:name="strategy-5-communication-and-education"/>
    <w:p>
      <w:pPr>
        <w:pStyle w:val="Heading2"/>
      </w:pPr>
      <w:r>
        <w:t xml:space="preserve">Strategy 5: Communication and Education</w:t>
      </w:r>
    </w:p>
    <w:bookmarkStart w:id="113" w:name="tbl-S5"/>
    <w:bookmarkStart w:id="112" w:name="T_e0e0a"/>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2"/>
    <w:bookmarkEnd w:id="113"/>
    <w:bookmarkEnd w:id="114"/>
    <w:bookmarkStart w:id="13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8" w:name="fig-stra1"/>
          <w:p>
            <w:pPr>
              <w:jc w:val="center"/>
            </w:pPr>
            <w:r>
              <w:drawing>
                <wp:inline>
                  <wp:extent cx="5334000" cy="2978474"/>
                  <wp:effectExtent b="0" l="0" r="0" t="0"/>
                  <wp:docPr descr="" title="" id="116" name="Picture"/>
                  <a:graphic>
                    <a:graphicData uri="http://schemas.openxmlformats.org/drawingml/2006/picture">
                      <pic:pic>
                        <pic:nvPicPr>
                          <pic:cNvPr descr="content/images/flowchart-crossing-rem.png" id="117" name="Picture"/>
                          <pic:cNvPicPr>
                            <a:picLocks noChangeArrowheads="1" noChangeAspect="1"/>
                          </pic:cNvPicPr>
                        </pic:nvPicPr>
                        <pic:blipFill>
                          <a:blip r:embed="rId11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Theory of change developed by the planning team for the actions identified under Strategy 1: Crossing Remediation in the Horsefly River watershed.</w:t>
            </w:r>
          </w:p>
          <w:bookmarkEnd w:id="11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2" w:name="fig-stra2"/>
          <w:p>
            <w:pPr>
              <w:jc w:val="center"/>
            </w:pPr>
            <w:r>
              <w:drawing>
                <wp:inline>
                  <wp:extent cx="5334000" cy="3283590"/>
                  <wp:effectExtent b="0" l="0" r="0" t="0"/>
                  <wp:docPr descr="" title="" id="120" name="Picture"/>
                  <a:graphic>
                    <a:graphicData uri="http://schemas.openxmlformats.org/drawingml/2006/picture">
                      <pic:pic>
                        <pic:nvPicPr>
                          <pic:cNvPr descr="content/images/flowchart-lat-bar-rem.png" id="121" name="Picture"/>
                          <pic:cNvPicPr>
                            <a:picLocks noChangeArrowheads="1" noChangeAspect="1"/>
                          </pic:cNvPicPr>
                        </pic:nvPicPr>
                        <pic:blipFill>
                          <a:blip r:embed="rId11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2: Lateral Barrier Remediation in the Horsefly River watershed.</w:t>
            </w:r>
          </w:p>
          <w:bookmarkEnd w:id="12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6" w:name="fig-stra3"/>
          <w:p>
            <w:pPr>
              <w:jc w:val="center"/>
            </w:pPr>
            <w:r>
              <w:drawing>
                <wp:inline>
                  <wp:extent cx="5334000" cy="2652452"/>
                  <wp:effectExtent b="0" l="0" r="0" t="0"/>
                  <wp:docPr descr="" title="" id="124" name="Picture"/>
                  <a:graphic>
                    <a:graphicData uri="http://schemas.openxmlformats.org/drawingml/2006/picture">
                      <pic:pic>
                        <pic:nvPicPr>
                          <pic:cNvPr descr="content/images/flowchart-dam-rem.png" id="125" name="Picture"/>
                          <pic:cNvPicPr>
                            <a:picLocks noChangeArrowheads="1" noChangeAspect="1"/>
                          </pic:cNvPicPr>
                        </pic:nvPicPr>
                        <pic:blipFill>
                          <a:blip r:embed="rId12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3: Dam Remediation in the Horsefly River watershed.</w:t>
            </w:r>
          </w:p>
          <w:bookmarkEnd w:id="12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0" w:name="fig-stra4"/>
          <w:p>
            <w:pPr>
              <w:jc w:val="center"/>
            </w:pPr>
            <w:r>
              <w:drawing>
                <wp:inline>
                  <wp:extent cx="5334000" cy="3229103"/>
                  <wp:effectExtent b="0" l="0" r="0" t="0"/>
                  <wp:docPr descr="" title="" id="128" name="Picture"/>
                  <a:graphic>
                    <a:graphicData uri="http://schemas.openxmlformats.org/drawingml/2006/picture">
                      <pic:pic>
                        <pic:nvPicPr>
                          <pic:cNvPr descr="content/images/flowchart-bar-prevent.png" id="129" name="Picture"/>
                          <pic:cNvPicPr>
                            <a:picLocks noChangeArrowheads="1" noChangeAspect="1"/>
                          </pic:cNvPicPr>
                        </pic:nvPicPr>
                        <pic:blipFill>
                          <a:blip r:embed="rId12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4: Barrier Prevention in the Horsefly River watershed.</w:t>
            </w:r>
          </w:p>
          <w:bookmarkEnd w:id="130"/>
        </w:tc>
      </w:tr>
    </w:tbl>
    <w:bookmarkEnd w:id="131"/>
    <w:bookmarkStart w:id="13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3" w:name="tbl-opplan"/>
    <w:bookmarkStart w:id="132" w:name="T_762ab"/>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2"/>
    <w:bookmarkEnd w:id="133"/>
    <w:bookmarkEnd w:id="134"/>
    <w:bookmarkStart w:id="136" w:name="funding-sources"/>
    <w:p>
      <w:pPr>
        <w:pStyle w:val="Heading2"/>
      </w:pPr>
      <w:r>
        <w:t xml:space="preserve">Funding Sources</w:t>
      </w:r>
    </w:p>
    <w:bookmarkStart w:id="13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35"/>
    <w:bookmarkEnd w:id="136"/>
    <w:bookmarkEnd w:id="137"/>
    <w:bookmarkStart w:id="146" w:name="data-download-and-methods"/>
    <w:p>
      <w:pPr>
        <w:pStyle w:val="Heading1"/>
      </w:pPr>
      <w:r>
        <w:t xml:space="preserve">Data Download and Methods</w:t>
      </w:r>
    </w:p>
    <w:bookmarkStart w:id="143"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38">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2" w:name="fig-over"/>
          <w:p>
            <w:pPr>
              <w:jc w:val="center"/>
            </w:pPr>
            <w:r>
              <w:drawing>
                <wp:inline>
                  <wp:extent cx="4825573" cy="3918857"/>
                  <wp:effectExtent b="0" l="0" r="0" t="0"/>
                  <wp:docPr descr="" title="" id="140" name="Picture"/>
                  <a:graphic>
                    <a:graphicData uri="http://schemas.openxmlformats.org/drawingml/2006/picture">
                      <pic:pic>
                        <pic:nvPicPr>
                          <pic:cNvPr descr="content/images/overview-map-hors.png" id="141" name="Picture"/>
                          <pic:cNvPicPr>
                            <a:picLocks noChangeArrowheads="1" noChangeAspect="1"/>
                          </pic:cNvPicPr>
                        </pic:nvPicPr>
                        <pic:blipFill>
                          <a:blip r:embed="rId139"/>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Horsefly River watershed overview map identifying the portions of the watershed covered by each map sheet (grey squares) and the prioritized barriers on the intermediate barrier list (orange points; see Appendix B).</w:t>
            </w:r>
          </w:p>
          <w:bookmarkEnd w:id="142"/>
        </w:tc>
      </w:tr>
    </w:tbl>
    <w:bookmarkEnd w:id="143"/>
    <w:bookmarkStart w:id="145"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27" Target="media/rId127.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26" Target="media/rId26.png" /><Relationship Type="http://schemas.openxmlformats.org/officeDocument/2006/relationships/image" Id="rId139" Target="media/rId139.png" /><Relationship Type="http://schemas.openxmlformats.org/officeDocument/2006/relationships/image" Id="rId94" Target="media/rId94.png" /><Relationship Type="http://schemas.openxmlformats.org/officeDocument/2006/relationships/image" Id="rId20" Target="media/rId20.jpg" /><Relationship Type="http://schemas.openxmlformats.org/officeDocument/2006/relationships/hyperlink" Id="rId30" Target="https://catalogue.data.gov.bc.ca/dataset/freshwater-atlas-watershed-groups" TargetMode="External" /><Relationship Type="http://schemas.openxmlformats.org/officeDocument/2006/relationships/hyperlink" Id="rId138" Target="https://github.com/smnorris/bcfishpass/tree/main/wcrp/pdfs" TargetMode="External" /><Relationship Type="http://schemas.openxmlformats.org/officeDocument/2006/relationships/hyperlink" Id="rId87"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30" Target="https://catalogue.data.gov.bc.ca/dataset/freshwater-atlas-watershed-groups" TargetMode="External" /><Relationship Type="http://schemas.openxmlformats.org/officeDocument/2006/relationships/hyperlink" Id="rId138" Target="https://github.com/smnorris/bcfishpass/tree/main/wcrp/pdfs" TargetMode="External" /><Relationship Type="http://schemas.openxmlformats.org/officeDocument/2006/relationships/hyperlink" Id="rId87"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2024-05-01T14:37:58Z</dcterms:created>
  <dcterms:modified xsi:type="dcterms:W3CDTF">2024-05-01T14:37:58Z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01-05-2024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